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3119"/>
        <w:gridCol w:w="2266"/>
      </w:tblGrid>
      <w:tr w:rsidR="00A57A5E" w:rsidRPr="00C74CAC" w:rsidTr="004E48FC">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3119"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266"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4E48FC">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3119" w:type="dxa"/>
          </w:tcPr>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57A5E" w:rsidRPr="00385DA1" w:rsidRDefault="00A57A5E" w:rsidP="00AC6827">
            <w:pPr>
              <w:rPr>
                <w:rFonts w:ascii="Verdana" w:hAnsi="Verdana" w:cs="Verdana"/>
                <w:sz w:val="16"/>
                <w:szCs w:val="16"/>
              </w:rPr>
            </w:pPr>
            <w:r w:rsidRPr="00385DA1">
              <w:rPr>
                <w:rFonts w:ascii="Verdana" w:hAnsi="Verdana" w:cs="Verdana"/>
                <w:sz w:val="16"/>
                <w:szCs w:val="16"/>
              </w:rPr>
              <w:t xml:space="preserve">@: </w:t>
            </w:r>
            <w:hyperlink r:id="rId9" w:history="1">
              <w:r w:rsidRPr="00385DA1">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Head of the International office:</w:t>
            </w:r>
            <w:r w:rsidR="004E48FC">
              <w:rPr>
                <w:rFonts w:ascii="Verdana" w:hAnsi="Verdana"/>
                <w:sz w:val="16"/>
                <w:szCs w:val="16"/>
                <w:lang w:val="it-IT"/>
              </w:rPr>
              <w:t xml:space="preserve"> </w:t>
            </w:r>
            <w:r w:rsidRPr="0029374F">
              <w:rPr>
                <w:rFonts w:ascii="Verdana" w:hAnsi="Verdana"/>
                <w:sz w:val="16"/>
                <w:szCs w:val="16"/>
                <w:lang w:val="it-IT"/>
              </w:rPr>
              <w:t xml:space="preserve"> </w:t>
            </w:r>
            <w:r>
              <w:rPr>
                <w:rFonts w:ascii="Verdana" w:hAnsi="Verdana"/>
                <w:sz w:val="16"/>
                <w:szCs w:val="16"/>
                <w:lang w:val="it-IT"/>
              </w:rPr>
              <w:t xml:space="preserve">@: </w:t>
            </w:r>
            <w:hyperlink r:id="rId10"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406B48" w:rsidRDefault="00A57A5E" w:rsidP="00AC6827">
            <w:pPr>
              <w:rPr>
                <w:rFonts w:ascii="Verdana" w:hAnsi="Verdana"/>
                <w:sz w:val="16"/>
                <w:szCs w:val="16"/>
                <w:lang w:val="it-IT"/>
              </w:rPr>
            </w:pPr>
            <w:r w:rsidRPr="00406B48">
              <w:rPr>
                <w:rFonts w:ascii="Verdana" w:hAnsi="Verdana"/>
                <w:sz w:val="16"/>
                <w:szCs w:val="16"/>
                <w:lang w:val="it-IT"/>
              </w:rPr>
              <w:t xml:space="preserve">Tel. +39 0733 2586040  </w:t>
            </w:r>
            <w:r w:rsidRPr="00406B48">
              <w:rPr>
                <w:rFonts w:ascii="Verdana" w:hAnsi="Verdana"/>
                <w:sz w:val="16"/>
                <w:szCs w:val="16"/>
                <w:lang w:val="it-IT"/>
              </w:rPr>
              <w:br/>
              <w:t xml:space="preserve">Fax +39 0733 2586039  </w:t>
            </w:r>
          </w:p>
          <w:p w:rsidR="00A57A5E" w:rsidRPr="00406B48" w:rsidRDefault="00A57A5E" w:rsidP="00E41703">
            <w:pPr>
              <w:rPr>
                <w:rFonts w:cs="Tahoma"/>
                <w:szCs w:val="20"/>
                <w:lang w:val="it-IT"/>
              </w:rPr>
            </w:pPr>
            <w:r w:rsidRPr="00406B48">
              <w:rPr>
                <w:rFonts w:ascii="Verdana" w:hAnsi="Verdana" w:cs="Tahoma"/>
                <w:b/>
                <w:bCs/>
                <w:sz w:val="16"/>
                <w:szCs w:val="16"/>
                <w:lang w:val="it-IT"/>
              </w:rPr>
              <w:t xml:space="preserve">Prof. </w:t>
            </w:r>
            <w:r w:rsidR="00B3297E" w:rsidRPr="00406B48">
              <w:rPr>
                <w:rFonts w:ascii="Verdana" w:hAnsi="Verdana" w:cs="Tahoma"/>
                <w:b/>
                <w:bCs/>
                <w:sz w:val="16"/>
                <w:szCs w:val="16"/>
                <w:lang w:val="it-IT"/>
              </w:rPr>
              <w:t xml:space="preserve">Fabrizio </w:t>
            </w:r>
            <w:r w:rsidR="00B3297E" w:rsidRPr="00406B48">
              <w:rPr>
                <w:rFonts w:ascii="Verdana" w:hAnsi="Verdana" w:cs="Tahoma"/>
                <w:b/>
                <w:caps/>
                <w:sz w:val="16"/>
                <w:szCs w:val="16"/>
                <w:lang w:val="it-IT"/>
              </w:rPr>
              <w:t>Marongiu Buonaiuti</w:t>
            </w:r>
            <w:r w:rsidR="00B3297E" w:rsidRPr="00C95C30">
              <w:rPr>
                <w:rFonts w:ascii="Verdana" w:hAnsi="Verdana" w:cs="Arial"/>
                <w:sz w:val="16"/>
                <w:szCs w:val="16"/>
                <w:lang w:val="pt-PT"/>
              </w:rPr>
              <w:t xml:space="preserve"> </w:t>
            </w:r>
            <w:r w:rsidR="00B3297E">
              <w:rPr>
                <w:rFonts w:ascii="Verdana" w:hAnsi="Verdana" w:cs="Arial"/>
                <w:sz w:val="16"/>
                <w:szCs w:val="16"/>
                <w:lang w:val="pt-PT"/>
              </w:rPr>
              <w:t xml:space="preserve">                          </w:t>
            </w:r>
            <w:r w:rsidRPr="00C95C30">
              <w:rPr>
                <w:rFonts w:ascii="Verdana" w:hAnsi="Verdana" w:cs="Arial"/>
                <w:sz w:val="16"/>
                <w:szCs w:val="16"/>
                <w:lang w:val="pt-PT"/>
              </w:rPr>
              <w:t xml:space="preserve">Erasmus departmental coordinator </w:t>
            </w:r>
            <w:r w:rsidRPr="00C95C30">
              <w:rPr>
                <w:rFonts w:ascii="Verdana" w:hAnsi="Verdana" w:cs="Arial"/>
                <w:sz w:val="16"/>
                <w:szCs w:val="16"/>
                <w:lang w:val="pt-PT"/>
              </w:rPr>
              <w:lastRenderedPageBreak/>
              <w:t xml:space="preserve">for </w:t>
            </w:r>
            <w:r w:rsidR="004E48FC">
              <w:rPr>
                <w:rFonts w:ascii="Verdana" w:hAnsi="Verdana" w:cs="Arial"/>
                <w:sz w:val="16"/>
                <w:szCs w:val="16"/>
                <w:u w:val="single"/>
                <w:lang w:val="pt-PT"/>
              </w:rPr>
              <w:t>Law</w:t>
            </w:r>
            <w:r w:rsidR="00C500BB" w:rsidRPr="00406B48">
              <w:rPr>
                <w:rFonts w:ascii="Verdana" w:hAnsi="Verdana" w:cs="Tahoma"/>
                <w:bCs/>
                <w:sz w:val="16"/>
                <w:szCs w:val="16"/>
                <w:u w:val="single"/>
                <w:lang w:val="it-IT"/>
              </w:rPr>
              <w:t xml:space="preserve">               </w:t>
            </w:r>
            <w:r w:rsidR="00385DA1" w:rsidRPr="00406B48">
              <w:rPr>
                <w:rFonts w:ascii="Verdana" w:hAnsi="Verdana" w:cs="Tahoma"/>
                <w:bCs/>
                <w:sz w:val="16"/>
                <w:szCs w:val="16"/>
                <w:u w:val="single"/>
                <w:lang w:val="it-IT"/>
              </w:rPr>
              <w:t xml:space="preserve"> </w:t>
            </w:r>
            <w:r w:rsidR="004E48FC" w:rsidRPr="00406B48">
              <w:rPr>
                <w:rFonts w:ascii="Verdana" w:hAnsi="Verdana" w:cs="Tahoma"/>
                <w:bCs/>
                <w:sz w:val="16"/>
                <w:szCs w:val="16"/>
                <w:u w:val="single"/>
                <w:lang w:val="it-IT"/>
              </w:rPr>
              <w:t xml:space="preserve">                  </w:t>
            </w:r>
            <w:r w:rsidR="00E41703" w:rsidRPr="00E41703">
              <w:rPr>
                <w:rFonts w:ascii="Verdana" w:hAnsi="Verdana" w:cs="Arial"/>
                <w:b/>
                <w:sz w:val="16"/>
                <w:szCs w:val="16"/>
                <w:lang w:val="pt-PT"/>
              </w:rPr>
              <w:t xml:space="preserve">Department of </w:t>
            </w:r>
            <w:r w:rsidR="00E41703" w:rsidRPr="00406B48">
              <w:rPr>
                <w:rFonts w:ascii="Verdana" w:hAnsi="Verdana" w:cs="Tahoma"/>
                <w:b/>
                <w:sz w:val="16"/>
                <w:szCs w:val="16"/>
                <w:lang w:val="it-IT"/>
              </w:rPr>
              <w:t xml:space="preserve"> </w:t>
            </w:r>
            <w:r w:rsidR="004E48FC" w:rsidRPr="00406B48">
              <w:rPr>
                <w:rFonts w:ascii="Verdana" w:hAnsi="Verdana" w:cs="Tahoma"/>
                <w:b/>
                <w:sz w:val="16"/>
                <w:szCs w:val="16"/>
                <w:lang w:val="it-IT"/>
              </w:rPr>
              <w:t>Law</w:t>
            </w:r>
            <w:r w:rsidR="004E48FC" w:rsidRPr="00406B48">
              <w:rPr>
                <w:rFonts w:cs="Tahoma"/>
                <w:szCs w:val="20"/>
                <w:lang w:val="it-IT"/>
              </w:rPr>
              <w:t xml:space="preserve">                     </w:t>
            </w:r>
            <w:r w:rsidR="004E48FC" w:rsidRPr="00406B48">
              <w:rPr>
                <w:rFonts w:ascii="Verdana" w:hAnsi="Verdana" w:cs="Tahoma"/>
                <w:sz w:val="16"/>
                <w:szCs w:val="16"/>
                <w:lang w:val="it-IT"/>
              </w:rPr>
              <w:t xml:space="preserve">Piaggia dell’Università, 2 - </w:t>
            </w:r>
            <w:r w:rsidR="0003586A" w:rsidRPr="00406B48">
              <w:rPr>
                <w:rFonts w:ascii="Verdana" w:hAnsi="Verdana" w:cs="Tahoma"/>
                <w:sz w:val="16"/>
                <w:szCs w:val="16"/>
                <w:lang w:val="it-IT"/>
              </w:rPr>
              <w:t xml:space="preserve">              </w:t>
            </w:r>
            <w:r w:rsidR="004E48FC" w:rsidRPr="00406B48">
              <w:rPr>
                <w:rFonts w:ascii="Verdana" w:hAnsi="Verdana" w:cs="Tahoma"/>
                <w:sz w:val="16"/>
                <w:szCs w:val="16"/>
                <w:lang w:val="it-IT"/>
              </w:rPr>
              <w:t xml:space="preserve">62100 Macerata – Italia                   </w:t>
            </w:r>
            <w:r w:rsidRPr="00406B48">
              <w:rPr>
                <w:rFonts w:ascii="Verdana" w:hAnsi="Verdana"/>
                <w:sz w:val="16"/>
                <w:szCs w:val="16"/>
                <w:lang w:val="it-IT"/>
              </w:rPr>
              <w:t xml:space="preserve">Phone </w:t>
            </w:r>
            <w:r w:rsidR="00406B48" w:rsidRPr="00406B48">
              <w:rPr>
                <w:rFonts w:ascii="Verdana" w:hAnsi="Verdana"/>
                <w:sz w:val="16"/>
                <w:szCs w:val="16"/>
                <w:lang w:val="it-IT"/>
              </w:rPr>
              <w:t>+ 39 0733 2582642</w:t>
            </w:r>
            <w:r w:rsidR="00385DA1" w:rsidRPr="00406B48">
              <w:rPr>
                <w:rFonts w:ascii="Verdana" w:hAnsi="Verdana"/>
                <w:sz w:val="16"/>
                <w:szCs w:val="16"/>
                <w:lang w:val="it-IT"/>
              </w:rPr>
              <w:t xml:space="preserve">    </w:t>
            </w:r>
            <w:r w:rsidR="00C500BB" w:rsidRPr="00406B48">
              <w:rPr>
                <w:rFonts w:ascii="Verdana" w:hAnsi="Verdana"/>
                <w:sz w:val="16"/>
                <w:szCs w:val="16"/>
                <w:lang w:val="it-IT"/>
              </w:rPr>
              <w:t xml:space="preserve"> </w:t>
            </w:r>
            <w:r w:rsidR="0003586A" w:rsidRPr="00406B48">
              <w:rPr>
                <w:rFonts w:ascii="Verdana" w:hAnsi="Verdana"/>
                <w:sz w:val="16"/>
                <w:szCs w:val="16"/>
                <w:lang w:val="it-IT"/>
              </w:rPr>
              <w:t xml:space="preserve">             </w:t>
            </w:r>
            <w:r w:rsidR="00385DA1" w:rsidRPr="00406B48">
              <w:rPr>
                <w:rFonts w:ascii="Verdana" w:hAnsi="Verdana"/>
                <w:sz w:val="16"/>
                <w:szCs w:val="16"/>
                <w:lang w:val="it-IT"/>
              </w:rPr>
              <w:t xml:space="preserve"> </w:t>
            </w:r>
            <w:r w:rsidRPr="00406B48">
              <w:rPr>
                <w:rFonts w:ascii="Verdana" w:hAnsi="Verdana"/>
                <w:sz w:val="16"/>
                <w:szCs w:val="16"/>
                <w:lang w:val="it-IT"/>
              </w:rPr>
              <w:t xml:space="preserve">Fax </w:t>
            </w:r>
            <w:r w:rsidR="00406B48">
              <w:rPr>
                <w:rFonts w:ascii="Verdana" w:hAnsi="Verdana"/>
                <w:sz w:val="16"/>
                <w:szCs w:val="16"/>
                <w:lang w:val="it-IT"/>
              </w:rPr>
              <w:t>+39 0733 2582566</w:t>
            </w:r>
            <w:bookmarkStart w:id="0" w:name="_GoBack"/>
            <w:bookmarkEnd w:id="0"/>
            <w:r w:rsidR="00385DA1" w:rsidRPr="00406B48">
              <w:rPr>
                <w:rFonts w:ascii="Verdana" w:hAnsi="Verdana"/>
                <w:sz w:val="16"/>
                <w:szCs w:val="16"/>
                <w:lang w:val="it-IT"/>
              </w:rPr>
              <w:t xml:space="preserve">                   </w:t>
            </w:r>
            <w:r w:rsidR="004E48FC" w:rsidRPr="00406B48">
              <w:rPr>
                <w:rFonts w:ascii="Verdana" w:hAnsi="Verdana"/>
                <w:sz w:val="16"/>
                <w:szCs w:val="16"/>
                <w:lang w:val="it-IT"/>
              </w:rPr>
              <w:t xml:space="preserve">  </w:t>
            </w:r>
            <w:r w:rsidR="0000120A" w:rsidRPr="00406B48">
              <w:rPr>
                <w:rFonts w:ascii="Verdana" w:hAnsi="Verdana"/>
                <w:bCs/>
                <w:sz w:val="16"/>
                <w:szCs w:val="16"/>
                <w:lang w:val="it-IT"/>
              </w:rPr>
              <w:t>@</w:t>
            </w:r>
            <w:r w:rsidR="004E48FC" w:rsidRPr="00406B48">
              <w:rPr>
                <w:rFonts w:ascii="Verdana" w:hAnsi="Verdana"/>
                <w:bCs/>
                <w:sz w:val="16"/>
                <w:szCs w:val="16"/>
                <w:lang w:val="it-IT"/>
              </w:rPr>
              <w:t xml:space="preserve">: </w:t>
            </w:r>
            <w:hyperlink r:id="rId12" w:history="1">
              <w:r w:rsidR="004E48FC" w:rsidRPr="00406B48">
                <w:rPr>
                  <w:rStyle w:val="Collegamentoipertestuale"/>
                  <w:rFonts w:ascii="Verdana" w:hAnsi="Verdana" w:cs="Tahoma"/>
                  <w:sz w:val="16"/>
                  <w:szCs w:val="16"/>
                  <w:lang w:val="it-IT"/>
                </w:rPr>
                <w:t>f1.marongiubuonaiuti@unimc.it</w:t>
              </w:r>
            </w:hyperlink>
            <w:r w:rsidR="004E48FC" w:rsidRPr="00406B48">
              <w:rPr>
                <w:rFonts w:ascii="Verdana" w:hAnsi="Verdana" w:cs="Tahoma"/>
                <w:sz w:val="16"/>
                <w:szCs w:val="16"/>
                <w:lang w:val="it-IT"/>
              </w:rPr>
              <w:t xml:space="preserve">  </w:t>
            </w:r>
          </w:p>
        </w:tc>
        <w:tc>
          <w:tcPr>
            <w:tcW w:w="2266"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3"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4"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A57A5E" w:rsidRDefault="00A57A5E" w:rsidP="0029374F">
            <w:pPr>
              <w:rPr>
                <w:rFonts w:ascii="Verdana" w:hAnsi="Verdana"/>
                <w:sz w:val="16"/>
                <w:szCs w:val="16"/>
              </w:rPr>
            </w:pPr>
            <w:r w:rsidRPr="00CA1D43">
              <w:rPr>
                <w:rFonts w:ascii="Verdana" w:hAnsi="Verdana"/>
                <w:sz w:val="16"/>
                <w:szCs w:val="16"/>
              </w:rPr>
              <w:t xml:space="preserve">Department home page </w:t>
            </w:r>
          </w:p>
          <w:p w:rsidR="0000120A" w:rsidRPr="004E48FC" w:rsidRDefault="00D315F4" w:rsidP="00C500BB">
            <w:pPr>
              <w:rPr>
                <w:rFonts w:ascii="Verdana" w:hAnsi="Verdana"/>
                <w:sz w:val="16"/>
                <w:szCs w:val="16"/>
              </w:rPr>
            </w:pPr>
            <w:hyperlink r:id="rId15" w:history="1">
              <w:r w:rsidR="004E48FC" w:rsidRPr="000D692D">
                <w:rPr>
                  <w:rStyle w:val="Collegamentoipertestuale"/>
                  <w:rFonts w:ascii="Verdana" w:hAnsi="Verdana"/>
                  <w:sz w:val="16"/>
                  <w:szCs w:val="16"/>
                </w:rPr>
                <w:t>http://giurisprudenza.uni</w:t>
              </w:r>
              <w:r w:rsidR="004E48FC" w:rsidRPr="000D692D">
                <w:rPr>
                  <w:rStyle w:val="Collegamentoipertestuale"/>
                  <w:rFonts w:ascii="Verdana" w:hAnsi="Verdana"/>
                  <w:sz w:val="16"/>
                  <w:szCs w:val="16"/>
                </w:rPr>
                <w:lastRenderedPageBreak/>
                <w:t>mc.it/it</w:t>
              </w:r>
            </w:hyperlink>
            <w:r w:rsidR="004E48FC">
              <w:rPr>
                <w:rFonts w:ascii="Verdana" w:hAnsi="Verdana"/>
                <w:sz w:val="16"/>
                <w:szCs w:val="16"/>
              </w:rPr>
              <w:t xml:space="preserve"> </w:t>
            </w:r>
            <w:r w:rsidR="00D132EF" w:rsidRPr="004E48FC">
              <w:rPr>
                <w:rFonts w:ascii="Verdana" w:hAnsi="Verdana"/>
                <w:sz w:val="16"/>
                <w:szCs w:val="16"/>
              </w:rPr>
              <w:t xml:space="preserve"> </w:t>
            </w:r>
            <w:r w:rsidR="00C500BB" w:rsidRPr="004E48FC">
              <w:rPr>
                <w:rFonts w:ascii="Verdana" w:hAnsi="Verdana"/>
                <w:sz w:val="16"/>
                <w:szCs w:val="16"/>
              </w:rPr>
              <w:t xml:space="preserve"> </w:t>
            </w:r>
          </w:p>
        </w:tc>
      </w:tr>
      <w:tr w:rsidR="00A57A5E" w:rsidRPr="003C7CAC" w:rsidTr="004E48FC">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311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266"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57A5E" w:rsidRPr="00D8469C" w:rsidRDefault="00A57A5E"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078"/>
        <w:gridCol w:w="1216"/>
        <w:gridCol w:w="1052"/>
        <w:gridCol w:w="1783"/>
        <w:gridCol w:w="1533"/>
      </w:tblGrid>
      <w:tr w:rsidR="00A57A5E" w:rsidRPr="006F5099" w:rsidTr="00FD6E81">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FD6E81">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078" w:type="dxa"/>
            <w:vMerge/>
            <w:shd w:val="clear" w:color="auto" w:fill="003399"/>
          </w:tcPr>
          <w:p w:rsidR="00A57A5E" w:rsidRPr="006F5099" w:rsidRDefault="00A57A5E" w:rsidP="00460AD1">
            <w:pPr>
              <w:rPr>
                <w:rFonts w:ascii="Verdana" w:hAnsi="Verdana"/>
                <w:sz w:val="20"/>
                <w:lang w:val="en-GB"/>
              </w:rPr>
            </w:pPr>
          </w:p>
        </w:tc>
        <w:tc>
          <w:tcPr>
            <w:tcW w:w="1216" w:type="dxa"/>
            <w:vMerge/>
            <w:shd w:val="clear" w:color="auto" w:fill="003399"/>
          </w:tcPr>
          <w:p w:rsidR="00A57A5E" w:rsidRPr="006F5099" w:rsidRDefault="00A57A5E" w:rsidP="00460AD1">
            <w:pPr>
              <w:jc w:val="center"/>
              <w:rPr>
                <w:rFonts w:ascii="Verdana" w:hAnsi="Verdana"/>
                <w:color w:val="FFFFFF"/>
                <w:sz w:val="20"/>
                <w:lang w:val="en-GB"/>
              </w:rPr>
            </w:pPr>
          </w:p>
        </w:tc>
        <w:tc>
          <w:tcPr>
            <w:tcW w:w="1052" w:type="dxa"/>
            <w:vMerge/>
            <w:shd w:val="clear" w:color="auto" w:fill="003399"/>
          </w:tcPr>
          <w:p w:rsidR="00A57A5E" w:rsidRPr="006F5099" w:rsidRDefault="00A57A5E" w:rsidP="00460AD1">
            <w:pPr>
              <w:jc w:val="center"/>
              <w:rPr>
                <w:rFonts w:ascii="Verdana" w:hAnsi="Verdana"/>
                <w:color w:val="FFFFFF"/>
                <w:sz w:val="20"/>
                <w:lang w:val="en-GB"/>
              </w:rPr>
            </w:pPr>
          </w:p>
        </w:tc>
        <w:tc>
          <w:tcPr>
            <w:tcW w:w="1783"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D55B8D">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57A5E" w:rsidRPr="00D02C47" w:rsidRDefault="004E48FC"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042</w:t>
            </w:r>
            <w:r w:rsidR="00A57A5E">
              <w:rPr>
                <w:rFonts w:ascii="Verdana" w:hAnsi="Verdana"/>
                <w:sz w:val="13"/>
                <w:szCs w:val="13"/>
                <w:highlight w:val="green"/>
                <w:lang w:val="en-GB"/>
              </w:rPr>
              <w:t xml:space="preserve"> </w:t>
            </w:r>
            <w:r w:rsidR="00532206">
              <w:rPr>
                <w:rFonts w:ascii="Verdana" w:hAnsi="Verdana"/>
                <w:sz w:val="13"/>
                <w:szCs w:val="13"/>
                <w:highlight w:val="green"/>
                <w:lang w:val="en-GB"/>
              </w:rPr>
              <w:t xml:space="preserve">   </w:t>
            </w:r>
            <w:r w:rsidR="00A57A5E" w:rsidRPr="00D02C47">
              <w:rPr>
                <w:rFonts w:ascii="Verdana" w:hAnsi="Verdana"/>
                <w:sz w:val="13"/>
                <w:szCs w:val="13"/>
                <w:highlight w:val="green"/>
                <w:lang w:val="en-GB"/>
              </w:rPr>
              <w:t xml:space="preserve">ISCED 2013) </w:t>
            </w:r>
          </w:p>
        </w:tc>
        <w:tc>
          <w:tcPr>
            <w:tcW w:w="1216" w:type="dxa"/>
            <w:vAlign w:val="center"/>
          </w:tcPr>
          <w:p w:rsidR="00A57A5E" w:rsidRPr="00D02C47" w:rsidRDefault="004E48FC"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Law</w:t>
            </w:r>
          </w:p>
        </w:tc>
        <w:tc>
          <w:tcPr>
            <w:tcW w:w="1052"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FD6E81">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530"/>
        <w:gridCol w:w="1985"/>
        <w:gridCol w:w="1615"/>
      </w:tblGrid>
      <w:tr w:rsidR="00A57A5E" w:rsidRPr="00C74CAC" w:rsidTr="0000120A">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53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60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00120A">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530" w:type="dxa"/>
            <w:vMerge/>
            <w:shd w:val="clear" w:color="auto" w:fill="003399"/>
          </w:tcPr>
          <w:p w:rsidR="00A57A5E" w:rsidRPr="00C74CAC" w:rsidRDefault="00A57A5E" w:rsidP="005A6692">
            <w:pPr>
              <w:jc w:val="center"/>
              <w:rPr>
                <w:rFonts w:ascii="Verdana" w:hAnsi="Verdana"/>
                <w:color w:val="FFFFFF"/>
                <w:sz w:val="20"/>
                <w:lang w:val="en-GB"/>
              </w:rPr>
            </w:pPr>
          </w:p>
        </w:tc>
        <w:tc>
          <w:tcPr>
            <w:tcW w:w="1985"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57A5E" w:rsidRPr="00F929C3" w:rsidTr="0000120A">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4E48FC"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042</w:t>
            </w:r>
            <w:r w:rsidR="00A57A5E" w:rsidRPr="00F929C3">
              <w:rPr>
                <w:rFonts w:ascii="Verdana" w:hAnsi="Verdana"/>
                <w:sz w:val="13"/>
                <w:szCs w:val="13"/>
                <w:highlight w:val="green"/>
                <w:lang w:val="en-GB"/>
              </w:rPr>
              <w:t xml:space="preserve">            (ISCED 2013)  </w:t>
            </w:r>
          </w:p>
        </w:tc>
        <w:tc>
          <w:tcPr>
            <w:tcW w:w="1530" w:type="dxa"/>
          </w:tcPr>
          <w:p w:rsidR="00A57A5E" w:rsidRPr="00F929C3" w:rsidRDefault="004E48FC"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Law</w:t>
            </w:r>
          </w:p>
        </w:tc>
        <w:tc>
          <w:tcPr>
            <w:tcW w:w="1985"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57A5E" w:rsidRPr="00F929C3" w:rsidRDefault="00A57A5E" w:rsidP="004C2A5C">
            <w:pPr>
              <w:rPr>
                <w:rFonts w:ascii="Verdana" w:hAnsi="Verdana"/>
                <w:i/>
                <w:sz w:val="13"/>
                <w:szCs w:val="13"/>
                <w:highlight w:val="green"/>
                <w:lang w:val="en-GB"/>
              </w:rPr>
            </w:pPr>
          </w:p>
        </w:tc>
        <w:tc>
          <w:tcPr>
            <w:tcW w:w="1615"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0120A">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6"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lastRenderedPageBreak/>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7"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D315F4" w:rsidP="003A2F8B">
      <w:pPr>
        <w:autoSpaceDE w:val="0"/>
        <w:autoSpaceDN w:val="0"/>
        <w:adjustRightInd w:val="0"/>
        <w:spacing w:after="0"/>
        <w:ind w:left="709"/>
        <w:jc w:val="both"/>
        <w:rPr>
          <w:lang w:val="it-IT"/>
        </w:rPr>
      </w:pPr>
      <w:hyperlink r:id="rId18"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385DA1"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D315F4" w:rsidP="00514D26">
            <w:pPr>
              <w:jc w:val="center"/>
              <w:rPr>
                <w:rFonts w:ascii="Verdana" w:hAnsi="Verdana"/>
                <w:sz w:val="13"/>
                <w:szCs w:val="13"/>
                <w:lang w:val="en-GB"/>
              </w:rPr>
            </w:pPr>
            <w:hyperlink r:id="rId19"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D315F4" w:rsidP="00AA2B21">
            <w:pPr>
              <w:rPr>
                <w:sz w:val="13"/>
                <w:szCs w:val="13"/>
                <w:lang w:val="en-GB"/>
              </w:rPr>
            </w:pPr>
            <w:hyperlink r:id="rId20"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D315F4" w:rsidP="00AA2B21">
            <w:pPr>
              <w:rPr>
                <w:sz w:val="13"/>
                <w:szCs w:val="13"/>
                <w:lang w:val="en-GB"/>
              </w:rPr>
            </w:pPr>
            <w:hyperlink r:id="rId21"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D315F4" w:rsidP="00AA2B21">
            <w:pPr>
              <w:rPr>
                <w:rFonts w:ascii="Verdana" w:hAnsi="Verdana"/>
                <w:sz w:val="13"/>
                <w:szCs w:val="13"/>
                <w:lang w:val="en-GB"/>
              </w:rPr>
            </w:pPr>
            <w:hyperlink r:id="rId22"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D315F4" w:rsidP="00AA2B21">
            <w:pPr>
              <w:rPr>
                <w:rFonts w:ascii="Verdana" w:hAnsi="Verdana"/>
                <w:sz w:val="13"/>
                <w:szCs w:val="13"/>
                <w:lang w:val="en-GB"/>
              </w:rPr>
            </w:pPr>
            <w:hyperlink r:id="rId23"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lastRenderedPageBreak/>
              <w:t>I  MACERAT01</w:t>
            </w:r>
          </w:p>
        </w:tc>
        <w:tc>
          <w:tcPr>
            <w:tcW w:w="1858" w:type="dxa"/>
          </w:tcPr>
          <w:p w:rsidR="00A57A5E" w:rsidRPr="008764A4" w:rsidRDefault="00D315F4" w:rsidP="00AA2B21">
            <w:pPr>
              <w:rPr>
                <w:rFonts w:ascii="Verdana" w:hAnsi="Verdana"/>
                <w:sz w:val="13"/>
                <w:szCs w:val="13"/>
                <w:lang w:val="en-GB"/>
              </w:rPr>
            </w:pPr>
            <w:hyperlink r:id="rId24"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D315F4" w:rsidP="00AA2B21">
            <w:pPr>
              <w:rPr>
                <w:rFonts w:ascii="Verdana" w:hAnsi="Verdana"/>
                <w:sz w:val="13"/>
                <w:szCs w:val="13"/>
              </w:rPr>
            </w:pPr>
            <w:hyperlink r:id="rId25"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6"/>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5F4" w:rsidRDefault="00D315F4" w:rsidP="001F70BB">
      <w:pPr>
        <w:spacing w:after="0" w:line="240" w:lineRule="auto"/>
      </w:pPr>
      <w:r>
        <w:separator/>
      </w:r>
    </w:p>
  </w:endnote>
  <w:endnote w:type="continuationSeparator" w:id="0">
    <w:p w:rsidR="00D315F4" w:rsidRDefault="00D315F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406B48" w:rsidRPr="00406B48">
      <w:rPr>
        <w:noProof/>
        <w:lang w:val="fr-FR"/>
      </w:rPr>
      <w:t>2</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5F4" w:rsidRDefault="00D315F4" w:rsidP="001F70BB">
      <w:pPr>
        <w:spacing w:after="0" w:line="240" w:lineRule="auto"/>
      </w:pPr>
      <w:r>
        <w:separator/>
      </w:r>
    </w:p>
  </w:footnote>
  <w:footnote w:type="continuationSeparator" w:id="0">
    <w:p w:rsidR="00D315F4" w:rsidRDefault="00D315F4"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586A"/>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0F3B"/>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41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06B48"/>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2E96"/>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48FC"/>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127"/>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6972"/>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297E"/>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32EF"/>
    <w:rsid w:val="00D15980"/>
    <w:rsid w:val="00D16734"/>
    <w:rsid w:val="00D20FC3"/>
    <w:rsid w:val="00D225A8"/>
    <w:rsid w:val="00D23339"/>
    <w:rsid w:val="00D239F7"/>
    <w:rsid w:val="00D259BA"/>
    <w:rsid w:val="00D27342"/>
    <w:rsid w:val="00D27EDE"/>
    <w:rsid w:val="00D305D4"/>
    <w:rsid w:val="00D315F4"/>
    <w:rsid w:val="00D31ADE"/>
    <w:rsid w:val="00D32044"/>
    <w:rsid w:val="00D32FFF"/>
    <w:rsid w:val="00D3534F"/>
    <w:rsid w:val="00D4031C"/>
    <w:rsid w:val="00D4081D"/>
    <w:rsid w:val="00D42C95"/>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170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4B82"/>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 w:type="character" w:customStyle="1" w:styleId="a-11">
    <w:name w:val="a-11"/>
    <w:basedOn w:val="Carpredefinitoparagrafo"/>
    <w:rsid w:val="004E4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 w:type="character" w:customStyle="1" w:styleId="a-11">
    <w:name w:val="a-11"/>
    <w:basedOn w:val="Carpredefinitoparagrafo"/>
    <w:rsid w:val="004E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mc.it/it" TargetMode="External"/><Relationship Id="rId18" Type="http://schemas.openxmlformats.org/officeDocument/2006/relationships/hyperlink" Target="http://www2.unimc.it/ateneo/centri-di-ateneo/cri/erasmus/in-entrata-incoming-students/didattica-didactics/italian-university-syste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2.unimc.it/cri/erasmus/in-entrata-incoming-students/practical-information/police-registration" TargetMode="External"/><Relationship Id="rId7" Type="http://schemas.openxmlformats.org/officeDocument/2006/relationships/endnotes" Target="endnotes.xml"/><Relationship Id="rId12" Type="http://schemas.openxmlformats.org/officeDocument/2006/relationships/hyperlink" Target="mailto:f1.marongiubuonaiuti@unimc.it" TargetMode="External"/><Relationship Id="rId17" Type="http://schemas.openxmlformats.org/officeDocument/2006/relationships/hyperlink" Target="http://www2.unimc.it/cri/erasmus/in-entrata-incoming-students/administrative-procedures/before-arrival" TargetMode="External"/><Relationship Id="rId25" Type="http://schemas.openxmlformats.org/officeDocument/2006/relationships/hyperlink" Target="http://www2.unimc.it/cri/erasmus/in-entrata-incoming-students/accommodation" TargetMode="External"/><Relationship Id="rId2" Type="http://schemas.openxmlformats.org/officeDocument/2006/relationships/styles" Target="styles.xml"/><Relationship Id="rId16" Type="http://schemas.openxmlformats.org/officeDocument/2006/relationships/hyperlink" Target="mailto:cri@unimc.it" TargetMode="External"/><Relationship Id="rId20" Type="http://schemas.openxmlformats.org/officeDocument/2006/relationships/hyperlink" Target="http://www.esteri.it/MAE/EN/Ministero/Servizi/Stranieri/IngressoSoggiornoInItalia/default.htm?LANG=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tonella.tiberi@unimc.it" TargetMode="External"/><Relationship Id="rId24" Type="http://schemas.openxmlformats.org/officeDocument/2006/relationships/hyperlink" Target="mailto:cri@unimc.it" TargetMode="External"/><Relationship Id="rId5" Type="http://schemas.openxmlformats.org/officeDocument/2006/relationships/webSettings" Target="webSettings.xml"/><Relationship Id="rId15" Type="http://schemas.openxmlformats.org/officeDocument/2006/relationships/hyperlink" Target="http://giurisprudenza.unimc.it/it" TargetMode="External"/><Relationship Id="rId23" Type="http://schemas.openxmlformats.org/officeDocument/2006/relationships/hyperlink" Target="http://www2.unimc.it/cri/erasmus/in-entrata-incoming-students/practical-information/italian-health-care-system" TargetMode="External"/><Relationship Id="rId28" Type="http://schemas.openxmlformats.org/officeDocument/2006/relationships/theme" Target="theme/theme1.xml"/><Relationship Id="rId10" Type="http://schemas.openxmlformats.org/officeDocument/2006/relationships/hyperlink" Target="mailto:cri@unimc.it" TargetMode="External"/><Relationship Id="rId19" Type="http://schemas.openxmlformats.org/officeDocument/2006/relationships/hyperlink" Target="mailto:cri@unimc.it" TargetMode="External"/><Relationship Id="rId4" Type="http://schemas.openxmlformats.org/officeDocument/2006/relationships/settings" Target="settings.xml"/><Relationship Id="rId9" Type="http://schemas.openxmlformats.org/officeDocument/2006/relationships/hyperlink" Target="mailto:cri@unimc.it" TargetMode="External"/><Relationship Id="rId14" Type="http://schemas.openxmlformats.org/officeDocument/2006/relationships/hyperlink" Target="http://www2.unimc.it/cri/erasmus/in-entrata-incoming-students" TargetMode="External"/><Relationship Id="rId22" Type="http://schemas.openxmlformats.org/officeDocument/2006/relationships/hyperlink" Target="mailto:cri@unimc.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39</TotalTime>
  <Pages>6</Pages>
  <Words>1516</Words>
  <Characters>8645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4</cp:revision>
  <cp:lastPrinted>2013-07-15T05:53:00Z</cp:lastPrinted>
  <dcterms:created xsi:type="dcterms:W3CDTF">2015-02-09T13:35:00Z</dcterms:created>
  <dcterms:modified xsi:type="dcterms:W3CDTF">2015-02-10T08:32:00Z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